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23.10.2025г. № 119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«Приложение 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</w:t>
      </w:r>
      <w:r>
        <w:rPr>
          <w:sz w:val="28"/>
          <w:szCs w:val="28"/>
          <w:lang w:val="ru-RU"/>
        </w:rPr>
        <w:t xml:space="preserve">4.12.</w:t>
      </w:r>
      <w:r>
        <w:rPr>
          <w:sz w:val="28"/>
          <w:szCs w:val="28"/>
        </w:rPr>
        <w:t xml:space="preserve">2024 г. № 146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95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из бюджета Краснодарского края на 2025 год и на плановый период 2026 и 2027 годов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right"/>
      </w:pPr>
      <w:r>
        <w:t xml:space="preserve">тыс. рублей</w:t>
      </w:r>
      <w:r/>
    </w:p>
    <w:tbl>
      <w:tblPr>
        <w:tblW w:w="9727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3119"/>
        <w:gridCol w:w="1417"/>
        <w:gridCol w:w="1418"/>
        <w:gridCol w:w="12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0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  <w:jc w:val="center"/>
            </w:pPr>
            <w:r>
              <w:t xml:space="preserve">Код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  <w:jc w:val="center"/>
            </w:pPr>
            <w:r>
              <w:t xml:space="preserve">Наименование дохода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center"/>
            </w:pPr>
            <w:r>
              <w:t xml:space="preserve">2025 год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center"/>
            </w:pPr>
            <w:r>
              <w:t xml:space="preserve">2026 год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center"/>
            </w:pPr>
            <w:r>
              <w:t xml:space="preserve">2027 год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2 00 00000 00 0000 000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Безвозмездные поступления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2 153 449,6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1 713 781,5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1 706 427,8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2 02 00000 00 0000 000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Безвозмездные поступления от других бюджетов бюджетной системы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2 153 449,6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1 713 781,5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1 706 427,8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2 02 10000 00 0000 150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Дотации бюджетам бюджетной системы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269 188,6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196 788,3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193 146,0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2 02 15001 00 0000 150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Дотации на выравнивание бюджетной обеспеченности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245 985,4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196 788,3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193 146,0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2 02 15001 14 0000 150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Дотации бюджетам муниципальных округов на выравнивание бюджетной обеспеченности из бюджета субъекта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245 985,4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196 788,3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193 146,0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2 02 15001 00 0000 150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Дотации бюджетам на поддержку мер по обеспечению сбалансированности бюджетов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2 300,0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2 02 15002 14 0000 150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Дотации бюджетам муниципальных округов на поддержку мер по обеспечению сбалансированности бюджетов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2 300,0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2 02 19999 00 0000 150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Прочие дотации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20 903,2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2 02 19999 14 0000 150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Прочие дотации бюджетам муниципальных округов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20 903,2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2 02 20000  00 0000 150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бюджетной системы Российской Федерации (межбюджетные субсидии)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545 661,3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204 017,1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148 589,2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2 02 20077 00 0000 150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на софинансирование капитальных вложений в объекты муниципальной собственности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35 000,0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2 02 20077 14 0000 150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муниципальных округов на софинансирование капитальных вложений в объекты муниципальной собственности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35 000,0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2 02 25304 00 0000 150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33 459,0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31 942,6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30 224,3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2 02 25304 14 0000 150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33 459,0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31 942,6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30 224,3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2 02 25467 00 0000 150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1 469,8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3 906,5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2 02 25467 14 0000 150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1 469,8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3 906,5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2 02 25497 00 0000 150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на реализацию мероприятий по обеспечению жильем молодых семей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7 833,5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7 263,5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8 135,6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2 02 25497 14 0000 150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муниципальных округов на реализацию мероприятий по обеспечению жильем молодых семей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7 833,5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7 263,5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8 135,6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2 02 25519 00 0000 150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на поддержку отрасли культуры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240,3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246,8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259,5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2 02 25519 14 0000 150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муниципальных округов на поддержку отрасли культуры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240,3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246,8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259,5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2 02 25576 00 0000 150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на обеспечение комплексного развития сельских территорий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955,4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2 02 25576 14 0000 150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муниципальных округов на обеспечение комплексного развития сельских территорий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955,4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2 02 25750 00 0000 150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на реализацию мероприятий по модернизации школьных систем образования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125 110,6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8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2 02 25750 14 0000 150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Субсидии бюджетам муниципальных округов на реализацию мероприятий по модернизации школьных систем образования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125 110,6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2 02 29999 00 0000 150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Прочие субсидии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376 592,7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125 657,7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109 969,8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2 02 29999 14 0000 150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Прочие субсидии бюджетам муниципальных округов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376 592,7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125 657,7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109 969,8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2 02 30000 00 0000 150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бюджетной системы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1 326 210,5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1 311 335,6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1 363 052,1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2 02 30024 00 0000 150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местным бюджетам на выполнение передаваемых полномочий субъектов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1 193 194,4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1 167 270,7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1 217 546,9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2 02 30024 14 0000 150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муниципальных округов на выполнение передаваемых полномочий субъектов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1 193 194,4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1 167 270,7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1 217 546,9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3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2 02 30029 00 0000 150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4 870,8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7 220,8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7 220,8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2 02 30029 14 0000 150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4 870,8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7 220,8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7 220,8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9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2 02 35120 00 0000 150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7,8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87,5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10,3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23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2 02 35120 14 0000 150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7,8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87,5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10,3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24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2 02 35179 00 0000 150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4 666,7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4 737,5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4 823,2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2 02 35179 14 0000 150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4 666,7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4 737,5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4 823,2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2 02 35303 00 0000 150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муниципальных образований на ежемесячное денежное вознаграждение за классное руководство педагогич</w:t>
            </w:r>
            <w: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51 715,4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51 715,4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51 663,4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2 02 35303 14 0000 150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муниципальных округов на ежемесячное денежное вознаграждение за классное руководство педагогич</w:t>
            </w:r>
            <w: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51 715,4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51 715,4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51 663,4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2 02 35118 00 0000 150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5 483,8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5 932,6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6 135,6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7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2 02 35118 14 0000 150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5 483,8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5 932,6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6 135,6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28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2 02 36900 00 0000 150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Единая субвенция местным бюджетам из бюджета субъекта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66 271,6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74 371,1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75 651,9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2 02 36900 14 0000 150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Единая субвенция бюджетам муниципальных округов из бюджета субъекта Российской Федерации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66 271,6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74 371,1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75 651,9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667"/>
              <w:ind w:right="-108"/>
            </w:pPr>
            <w:r>
              <w:t xml:space="preserve">2 02 40000 00 0000 150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Иные межбюджетные трансферты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12 389,2</w:t>
            </w:r>
            <w:r/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1 640,5</w:t>
            </w:r>
            <w:r/>
          </w:p>
        </w:tc>
        <w:tc>
          <w:tcPr>
            <w:tcW w:w="1255" w:type="dxa"/>
            <w:vAlign w:val="top"/>
            <w:textDirection w:val="lrTb"/>
            <w:noWrap w:val="false"/>
          </w:tcPr>
          <w:p>
            <w:pPr>
              <w:pStyle w:val="667"/>
              <w:jc w:val="right"/>
            </w:pPr>
            <w:r>
              <w:t xml:space="preserve">1 640,5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68"/>
        </w:trPr>
        <w:tc>
          <w:tcPr>
            <w:tcW w:w="2518" w:type="dxa"/>
            <w:vAlign w:val="top"/>
            <w:textDirection w:val="lrTb"/>
            <w:noWrap/>
          </w:tcPr>
          <w:p>
            <w:pPr>
              <w:pStyle w:val="667"/>
              <w:ind w:right="-108"/>
            </w:pPr>
            <w:r>
              <w:t xml:space="preserve">2 02 45050 00 0000 150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1 640,5</w:t>
            </w:r>
            <w:r/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1 640,5</w:t>
            </w:r>
            <w:r/>
          </w:p>
        </w:tc>
        <w:tc>
          <w:tcPr>
            <w:tcW w:w="1255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1 640,5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5"/>
        </w:trPr>
        <w:tc>
          <w:tcPr>
            <w:tcW w:w="2518" w:type="dxa"/>
            <w:vAlign w:val="top"/>
            <w:textDirection w:val="lrTb"/>
            <w:noWrap/>
          </w:tcPr>
          <w:p>
            <w:pPr>
              <w:pStyle w:val="667"/>
              <w:ind w:right="-108"/>
            </w:pPr>
            <w:r>
              <w:t xml:space="preserve">2 02 45050 14 0000 150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1 640,5</w:t>
            </w:r>
            <w:r/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1 640,5</w:t>
            </w:r>
            <w:r/>
          </w:p>
        </w:tc>
        <w:tc>
          <w:tcPr>
            <w:tcW w:w="1255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1 640,5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/>
          </w:tcPr>
          <w:p>
            <w:pPr>
              <w:pStyle w:val="667"/>
              <w:ind w:right="-108"/>
            </w:pPr>
            <w:r>
              <w:t xml:space="preserve">2 02 49999 00 0000 150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Прочие межбюджетные трансферты, передаваемые бюджетам</w:t>
            </w:r>
            <w:r/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10 748,7</w:t>
            </w:r>
            <w:r/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/>
          </w:tcPr>
          <w:p>
            <w:pPr>
              <w:pStyle w:val="667"/>
              <w:ind w:right="-108"/>
            </w:pPr>
            <w:r>
              <w:t xml:space="preserve">2 02 49999 14 0000 150</w:t>
            </w:r>
            <w:r/>
          </w:p>
        </w:tc>
        <w:tc>
          <w:tcPr>
            <w:tcW w:w="3119" w:type="dxa"/>
            <w:vAlign w:val="top"/>
            <w:textDirection w:val="lrTb"/>
            <w:noWrap w:val="false"/>
          </w:tcPr>
          <w:p>
            <w:pPr>
              <w:pStyle w:val="667"/>
              <w:ind w:right="-156"/>
            </w:pPr>
            <w:r>
              <w:t xml:space="preserve">Прочие межбюджетные трансферты, передаваемые бюджетам муниципальных округов</w:t>
            </w:r>
            <w:r/>
          </w:p>
        </w:tc>
        <w:tc>
          <w:tcPr>
            <w:tcW w:w="1417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10 748,7</w:t>
            </w:r>
            <w:r/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  <w:tc>
          <w:tcPr>
            <w:tcW w:w="1255" w:type="dxa"/>
            <w:vAlign w:val="top"/>
            <w:textDirection w:val="lrTb"/>
            <w:noWrap/>
          </w:tcPr>
          <w:p>
            <w:pPr>
              <w:pStyle w:val="667"/>
              <w:jc w:val="right"/>
            </w:pPr>
            <w:r>
              <w:t xml:space="preserve">0,0</w:t>
            </w:r>
            <w:r/>
          </w:p>
        </w:tc>
      </w:tr>
    </w:tbl>
    <w:p>
      <w:pPr>
        <w:pStyle w:val="652"/>
        <w:jc w:val="right"/>
      </w:pPr>
      <w:r/>
      <w:r/>
    </w:p>
    <w:p>
      <w:pPr>
        <w:pStyle w:val="652"/>
        <w:tabs>
          <w:tab w:val="left" w:pos="1305" w:leader="none"/>
        </w:tabs>
      </w:pPr>
      <w:r/>
      <w:r/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       С.В. 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3"/>
      <w:tabs>
        <w:tab w:val="center" w:pos="4677" w:leader="none"/>
        <w:tab w:val="right" w:pos="9355" w:leader="none"/>
      </w:tabs>
      <w:rPr>
        <w:rStyle w:val="656"/>
      </w:rPr>
      <w:framePr w:wrap="around" w:vAnchor="text" w:hAnchor="margin" w:xAlign="center" w:y="1"/>
    </w:pPr>
    <w:r>
      <w:rPr>
        <w:rStyle w:val="656"/>
      </w:rPr>
      <w:fldChar w:fldCharType="begin"/>
    </w:r>
    <w:r>
      <w:rPr>
        <w:rStyle w:val="656"/>
      </w:rPr>
      <w:instrText xml:space="preserve">PAGE  </w:instrText>
    </w:r>
    <w:r>
      <w:rPr>
        <w:rStyle w:val="656"/>
      </w:rPr>
      <w:fldChar w:fldCharType="separate"/>
    </w:r>
    <w:r>
      <w:rPr>
        <w:rStyle w:val="656"/>
      </w:rPr>
      <w:t xml:space="preserve">2</w:t>
    </w:r>
    <w:r>
      <w:rPr>
        <w:rStyle w:val="656"/>
      </w:rPr>
      <w:fldChar w:fldCharType="end"/>
    </w:r>
    <w:r>
      <w:rPr>
        <w:rStyle w:val="656"/>
      </w:rPr>
    </w:r>
    <w:r>
      <w:rPr>
        <w:rStyle w:val="656"/>
      </w:rPr>
    </w:r>
  </w:p>
  <w:p>
    <w:pPr>
      <w:pStyle w:val="663"/>
      <w:tabs>
        <w:tab w:val="center" w:pos="4677" w:leader="none"/>
        <w:tab w:val="right" w:pos="9355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3"/>
      <w:tabs>
        <w:tab w:val="center" w:pos="4677" w:leader="none"/>
        <w:tab w:val="right" w:pos="9355" w:leader="none"/>
      </w:tabs>
      <w:rPr>
        <w:rStyle w:val="656"/>
      </w:rPr>
      <w:framePr w:wrap="around" w:vAnchor="text" w:hAnchor="margin" w:xAlign="center" w:y="1"/>
    </w:pPr>
    <w:r>
      <w:rPr>
        <w:rStyle w:val="656"/>
      </w:rPr>
      <w:fldChar w:fldCharType="begin"/>
    </w:r>
    <w:r>
      <w:rPr>
        <w:rStyle w:val="656"/>
      </w:rPr>
      <w:instrText xml:space="preserve">PAGE  </w:instrText>
    </w:r>
    <w:r>
      <w:rPr>
        <w:rStyle w:val="656"/>
      </w:rPr>
      <w:fldChar w:fldCharType="end"/>
    </w:r>
    <w:r>
      <w:rPr>
        <w:rStyle w:val="656"/>
      </w:rPr>
    </w:r>
    <w:r>
      <w:rPr>
        <w:rStyle w:val="656"/>
      </w:rPr>
    </w:r>
  </w:p>
  <w:p>
    <w:pPr>
      <w:pStyle w:val="663"/>
      <w:tabs>
        <w:tab w:val="center" w:pos="4677" w:leader="none"/>
        <w:tab w:val="right" w:pos="9355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character" w:styleId="653">
    <w:name w:val="Основной шрифт абзаца"/>
    <w:next w:val="653"/>
    <w:link w:val="652"/>
    <w:semiHidden/>
  </w:style>
  <w:style w:type="table" w:styleId="654">
    <w:name w:val="Обычная таблица"/>
    <w:next w:val="654"/>
    <w:link w:val="652"/>
    <w:semiHidden/>
    <w:tblPr/>
  </w:style>
  <w:style w:type="character" w:styleId="655">
    <w:name w:val="Знак примечания"/>
    <w:next w:val="655"/>
    <w:link w:val="652"/>
    <w:rPr>
      <w:sz w:val="16"/>
      <w:szCs w:val="16"/>
    </w:rPr>
  </w:style>
  <w:style w:type="character" w:styleId="656">
    <w:name w:val="Номер страницы"/>
    <w:basedOn w:val="653"/>
    <w:next w:val="656"/>
    <w:link w:val="652"/>
  </w:style>
  <w:style w:type="paragraph" w:styleId="657">
    <w:name w:val="Текст выноски"/>
    <w:basedOn w:val="652"/>
    <w:next w:val="657"/>
    <w:link w:val="658"/>
    <w:rPr>
      <w:rFonts w:ascii="Segoe UI" w:hAnsi="Segoe UI" w:cs="Segoe UI"/>
      <w:sz w:val="18"/>
      <w:szCs w:val="18"/>
    </w:rPr>
  </w:style>
  <w:style w:type="character" w:styleId="658">
    <w:name w:val="Текст выноски Знак"/>
    <w:next w:val="658"/>
    <w:link w:val="657"/>
    <w:rPr>
      <w:rFonts w:ascii="Segoe UI" w:hAnsi="Segoe UI" w:cs="Segoe UI"/>
      <w:sz w:val="18"/>
      <w:szCs w:val="18"/>
    </w:rPr>
  </w:style>
  <w:style w:type="paragraph" w:styleId="659">
    <w:name w:val="Текст примечания"/>
    <w:basedOn w:val="652"/>
    <w:next w:val="659"/>
    <w:link w:val="660"/>
    <w:rPr>
      <w:sz w:val="20"/>
      <w:szCs w:val="20"/>
    </w:rPr>
  </w:style>
  <w:style w:type="character" w:styleId="660">
    <w:name w:val="Текст примечания Знак"/>
    <w:basedOn w:val="653"/>
    <w:next w:val="660"/>
    <w:link w:val="659"/>
  </w:style>
  <w:style w:type="paragraph" w:styleId="661">
    <w:name w:val="Тема примечания"/>
    <w:basedOn w:val="659"/>
    <w:next w:val="659"/>
    <w:link w:val="662"/>
    <w:rPr>
      <w:b/>
      <w:bCs/>
    </w:rPr>
  </w:style>
  <w:style w:type="character" w:styleId="662">
    <w:name w:val="Тема примечания Знак"/>
    <w:next w:val="662"/>
    <w:link w:val="661"/>
    <w:rPr>
      <w:b/>
      <w:bCs/>
    </w:rPr>
  </w:style>
  <w:style w:type="paragraph" w:styleId="663">
    <w:name w:val="Верхний колонтитул"/>
    <w:basedOn w:val="652"/>
    <w:next w:val="663"/>
    <w:link w:val="652"/>
    <w:pPr>
      <w:tabs>
        <w:tab w:val="center" w:pos="4677" w:leader="none"/>
        <w:tab w:val="right" w:pos="9355" w:leader="none"/>
      </w:tabs>
    </w:pPr>
  </w:style>
  <w:style w:type="paragraph" w:styleId="664">
    <w:name w:val="Нижний колонтитул"/>
    <w:basedOn w:val="652"/>
    <w:next w:val="664"/>
    <w:link w:val="652"/>
    <w:pPr>
      <w:tabs>
        <w:tab w:val="center" w:pos="4677" w:leader="none"/>
        <w:tab w:val="right" w:pos="9355" w:leader="none"/>
      </w:tabs>
    </w:pPr>
  </w:style>
  <w:style w:type="table" w:styleId="665">
    <w:name w:val="Сетка таблицы"/>
    <w:basedOn w:val="654"/>
    <w:next w:val="665"/>
    <w:link w:val="652"/>
    <w:tblPr/>
  </w:style>
  <w:style w:type="paragraph" w:styleId="666">
    <w:name w:val="Прижатый влево"/>
    <w:basedOn w:val="652"/>
    <w:next w:val="652"/>
    <w:link w:val="652"/>
    <w:rPr>
      <w:rFonts w:ascii="Arial" w:hAnsi="Arial"/>
    </w:rPr>
  </w:style>
  <w:style w:type="paragraph" w:styleId="667">
    <w:name w:val="Без интервала"/>
    <w:next w:val="667"/>
    <w:link w:val="652"/>
    <w:uiPriority w:val="1"/>
    <w:qFormat/>
    <w:rPr>
      <w:sz w:val="24"/>
      <w:szCs w:val="24"/>
      <w:lang w:val="ru-RU" w:eastAsia="ru-RU" w:bidi="ar-SA"/>
    </w:rPr>
  </w:style>
  <w:style w:type="character" w:styleId="3155" w:default="1">
    <w:name w:val="Default Paragraph Font"/>
    <w:uiPriority w:val="1"/>
    <w:semiHidden/>
    <w:unhideWhenUsed/>
  </w:style>
  <w:style w:type="numbering" w:styleId="3156" w:default="1">
    <w:name w:val="No List"/>
    <w:uiPriority w:val="99"/>
    <w:semiHidden/>
    <w:unhideWhenUsed/>
  </w:style>
  <w:style w:type="table" w:styleId="31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</dc:creator>
  <cp:revision>2</cp:revision>
  <dcterms:created xsi:type="dcterms:W3CDTF">2025-04-14T06:42:00Z</dcterms:created>
  <dcterms:modified xsi:type="dcterms:W3CDTF">2025-11-10T10:25:40Z</dcterms:modified>
</cp:coreProperties>
</file>